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C97E" w14:textId="6AC7B4A8" w:rsidR="00A652D6" w:rsidRPr="00870F91" w:rsidRDefault="00A652D6" w:rsidP="00A652D6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  <w:bidi w:val="0"/>
      </w:pPr>
      <w:bookmarkStart w:id="0" w:name="OLE_LINK17"/>
      <w:bookmarkStart w:id="1" w:name="OLE_LINK18"/>
      <w:r>
        <w:rPr>
          <w:rFonts w:ascii="ITC Slimbach LT CE Book" w:cs="Arial" w:hAnsi="ITC Slimbach LT CE Book"/>
          <w:sz w:val="28"/>
          <w:lang w:val="no"/>
          <w:b w:val="1"/>
          <w:bCs w:val="1"/>
          <w:i w:val="0"/>
          <w:iCs w:val="0"/>
          <w:u w:val="none"/>
          <w:vertAlign w:val="baseline"/>
          <w:rtl w:val="0"/>
        </w:rPr>
        <w:t xml:space="preserve">PREFARENZEN | Prosjektrapport November 2022</w:t>
      </w:r>
    </w:p>
    <w:p w14:paraId="102CABC9" w14:textId="77777777" w:rsidR="00A652D6" w:rsidRDefault="00A652D6" w:rsidP="00A652D6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1E23A3A4" w14:textId="362A1DFA" w:rsidR="00B7643D" w:rsidRDefault="00B7643D" w:rsidP="00A652D6">
      <w:pPr>
        <w:suppressAutoHyphens/>
        <w:spacing w:after="80"/>
        <w:jc w:val="both"/>
        <w:rPr>
          <w:rFonts w:ascii="ITC Slimbach LT CE Book" w:hAnsi="ITC Slimbach LT CE Book" w:cs="Arial"/>
          <w:b/>
          <w:bCs/>
          <w:sz w:val="36"/>
        </w:rPr>
        <w:bidi w:val="0"/>
      </w:pPr>
      <w:r>
        <w:rPr>
          <w:rFonts w:ascii="ITC Slimbach LT CE Book" w:cs="Arial" w:hAnsi="ITC Slimbach LT CE Book"/>
          <w:sz w:val="36"/>
          <w:lang w:val="no"/>
          <w:b w:val="1"/>
          <w:bCs w:val="1"/>
          <w:i w:val="0"/>
          <w:iCs w:val="0"/>
          <w:u w:val="none"/>
          <w:vertAlign w:val="baseline"/>
          <w:rtl w:val="0"/>
        </w:rPr>
        <w:t xml:space="preserve">Seier for Prefa – et imponerende issportsenter ved polarsirkelen</w:t>
      </w:r>
    </w:p>
    <w:p w14:paraId="18D7B38B" w14:textId="77777777" w:rsidR="00A652D6" w:rsidRDefault="00A652D6" w:rsidP="00A652D6">
      <w:pPr>
        <w:suppressAutoHyphens/>
        <w:spacing w:after="80"/>
        <w:jc w:val="both"/>
        <w:rPr>
          <w:rFonts w:ascii="ITC Slimbach LT CE Book" w:hAnsi="ITC Slimbach LT CE Book" w:cs="Arial"/>
        </w:rPr>
      </w:pPr>
    </w:p>
    <w:p w14:paraId="2CBB85D8" w14:textId="203C0CBE" w:rsidR="001C236E" w:rsidRPr="00F152C2" w:rsidRDefault="00A652D6" w:rsidP="00AF085D">
      <w:pPr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Marktl/Wasungen – Den svenske byen Malmberget, som ligger rett under polarsirkelen, har endelig måttet gi seg etter mer enn 100 år med gruvedrift, og har blitt gradvis integrert i nabobyen Gällivare i mange år. Mats Jakobsson og hans team fra MAF Arkitektkontor har spilt en nøkkelrolle i dette i mange år. Som en del av denne byutviklingen tegnet de også is- og eventhallen i Gällivare (SE), som var kledd med 26 000 stk. røde veggshingel fra Prefa.</w:t>
      </w:r>
    </w:p>
    <w:p w14:paraId="227F9D25" w14:textId="1BFF2D38" w:rsidR="00AF085D" w:rsidRPr="00F152C2" w:rsidRDefault="00E04ACF" w:rsidP="00AF085D">
      <w:pPr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cs="Arial" w:hAnsi="ITC Slimbach LT CE Book"/>
          <w:lang w:val="no"/>
          <w:b w:val="1"/>
          <w:bCs w:val="1"/>
          <w:i w:val="0"/>
          <w:iCs w:val="0"/>
          <w:u w:val="none"/>
          <w:vertAlign w:val="baseline"/>
          <w:rtl w:val="0"/>
        </w:rPr>
        <w:t xml:space="preserve">Stilig pakket inn</w:t>
      </w:r>
    </w:p>
    <w:p w14:paraId="26B67988" w14:textId="18D476C0" w:rsidR="00E04ACF" w:rsidRPr="00F152C2" w:rsidRDefault="00E04ACF" w:rsidP="00F152C2">
      <w:pPr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Veksten til det tidligere lille samfunnet krever også bygging av en fremtidssikker infrastruktur. MAF Arkitektkontor ble ikke bare integrert i byplanleggingen, men planla også store kommunale anlegg som flerfunksjonshuset for idrett og kultur, skolesenteret og det nevnte issportsenteret. Ved planleggingen av den 6500 m² store hallen var arkitekten ute etter «et uttrykk for beskjedenhet som gir hallen verdighet og klarhet». Med avrundede hjørner, ulike konstruksjonshøyder og en lett bakoverskråstilt, optisk oscillerende fasade i fem ulike rødnyanser – var det mulig å pakke inn den enorme kubaturen for betrakteren.</w:t>
      </w:r>
    </w:p>
    <w:p w14:paraId="744FD444" w14:textId="32112D63" w:rsidR="00EF03B4" w:rsidRPr="002004A2" w:rsidRDefault="00052553" w:rsidP="00A652D6">
      <w:pPr>
        <w:jc w:val="both"/>
        <w:rPr>
          <w:rFonts w:ascii="ITC Slimbach LT CE Book" w:hAnsi="ITC Slimbach LT CE Book" w:cs="Arial"/>
          <w:b/>
          <w:bCs/>
        </w:rPr>
        <w:bidi w:val="0"/>
      </w:pPr>
      <w:r>
        <w:rPr>
          <w:rFonts w:ascii="ITC Slimbach LT CE Book" w:cs="Arial" w:hAnsi="ITC Slimbach LT CE Book"/>
          <w:lang w:val="no"/>
          <w:b w:val="1"/>
          <w:bCs w:val="1"/>
          <w:i w:val="0"/>
          <w:iCs w:val="0"/>
          <w:u w:val="none"/>
          <w:vertAlign w:val="baseline"/>
          <w:rtl w:val="0"/>
        </w:rPr>
        <w:t xml:space="preserve">Enkel avgjørelse</w:t>
      </w:r>
    </w:p>
    <w:p w14:paraId="77B89160" w14:textId="2CBA33ED" w:rsidR="000E4321" w:rsidRDefault="001E2DCD" w:rsidP="00A652D6">
      <w:pPr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Arkitekten syntes ikke det var vanskelig å bestemme seg for veggshingelen i aluminium. Ingen andre materialer kan enkelt legges på konkave og konvekse kurver i vintertemperaturer ned til -30 °C. I tillegg kom alle de mulige spesialfargene og det brede fargespekteret, som skapte en spesiell nærbilde- og langdistanseeffekt og reflekterte livsgleden og varmen fra den sportslige aktiviteten inne i hallen. Ishallen er optimalt utstyrt for dette – med treningsområder for barn, treningsrom for ballettdansere og et sofistikert temperatursystem som kan brukes til å produsere ulike grader av ishardhet.</w:t>
      </w:r>
    </w:p>
    <w:p w14:paraId="21B9BCA4" w14:textId="250137F8" w:rsidR="00A652D6" w:rsidRPr="007D7891" w:rsidRDefault="00EB4890" w:rsidP="00A652D6">
      <w:pPr>
        <w:jc w:val="both"/>
        <w:rPr>
          <w:rFonts w:ascii="ITC Slimbach LT CE Book" w:hAnsi="ITC Slimbach LT CE Book" w:cs="Arial"/>
          <w:b/>
          <w:bCs/>
        </w:rPr>
        <w:bidi w:val="0"/>
      </w:pPr>
      <w:r>
        <w:rPr>
          <w:rFonts w:ascii="ITC Slimbach LT CE Book" w:cs="Arial" w:hAnsi="ITC Slimbach LT CE Book"/>
          <w:lang w:val="no"/>
          <w:b w:val="1"/>
          <w:bCs w:val="1"/>
          <w:i w:val="0"/>
          <w:iCs w:val="0"/>
          <w:u w:val="none"/>
          <w:vertAlign w:val="baseline"/>
          <w:rtl w:val="0"/>
        </w:rPr>
        <w:t xml:space="preserve">Man slutter aldri å lære</w:t>
      </w:r>
    </w:p>
    <w:p w14:paraId="27731604" w14:textId="484D8C31" w:rsidR="00640037" w:rsidRPr="00A707DA" w:rsidRDefault="00B53C6C" w:rsidP="00926321">
      <w:pPr>
        <w:jc w:val="both"/>
        <w:rPr>
          <w:rFonts w:ascii="ITC Slimbach LT CE Book" w:hAnsi="ITC Slimbach LT CE Book" w:cs="Arial"/>
          <w:strike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Teamet rundt Magnus Rahkola fra Hala Byggplåtslageri AB klarte å realisere det ambisiøse arkitektoniske prosjektet i Gällivare med en godt koordinert monteringsrytme og omfattende planlegging. På grunn av de iskalde temperaturene er den årlige byggetiden ekstremt kort, og shingelen kunne knapt skilles fra hverandre i polarnattens blåaktige lys – derfor ble de nummerert. Håndverkerteamet planla det tilfeldige mønsteret – arkitektene hadde kun gitt dem informasjon om hvor mange prosent av de respektive fargene som skulle brukes. Rahkola understreker også at han fikk lære mye av byggeplassen for fremtidige arbeidsmetoder.</w:t>
      </w:r>
    </w:p>
    <w:p w14:paraId="43B934B1" w14:textId="77777777" w:rsidR="00640037" w:rsidRPr="00634B17" w:rsidRDefault="00640037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67248D3F" w14:textId="77777777" w:rsidR="00A652D6" w:rsidRPr="00634B17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004B8A66" w14:textId="77777777" w:rsidR="00A652D6" w:rsidRDefault="00A652D6" w:rsidP="00A652D6">
      <w:pPr>
        <w:spacing w:after="0"/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Materiale:</w:t>
      </w:r>
    </w:p>
    <w:p w14:paraId="6D091CBB" w14:textId="686B540F" w:rsidR="00A652D6" w:rsidRDefault="00640037" w:rsidP="00A652D6">
      <w:pPr>
        <w:spacing w:after="0" w:line="312" w:lineRule="auto"/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Veggshingel</w:t>
      </w:r>
    </w:p>
    <w:p w14:paraId="11A01C30" w14:textId="21C3B016" w:rsidR="00A652D6" w:rsidRDefault="00640037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P.10 Oksidrød, P.10 Mursteinrød, spesialfarge RAL 8012 (rødbrun), spesialfarge RAL 3011 (brunrød)</w:t>
      </w:r>
    </w:p>
    <w:p w14:paraId="46660EAA" w14:textId="77777777" w:rsidR="00A652D6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544D768F" w14:textId="77777777" w:rsidR="00A652D6" w:rsidRPr="00FB71E4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3ACA2DE2" w14:textId="2C44A6F6" w:rsidR="00A652D6" w:rsidRDefault="00A652D6" w:rsidP="00A652D6">
      <w:pPr>
        <w:spacing w:after="0"/>
        <w:jc w:val="both"/>
        <w:rPr>
          <w:rFonts w:ascii="ITC Slimbach LT CE Book" w:hAnsi="ITC Slimbach LT CE Book" w:cs="Arial"/>
          <w:color w:val="000000" w:themeColor="text1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Kortversjon: Takket være det svenske </w:t>
      </w:r>
      <w:r>
        <w:rPr>
          <w:rFonts w:ascii="ITC Slimbach LT CE Book" w:cs="Arial" w:hAnsi="ITC Slimbach LT CE Book"/>
          <w:color w:val="000000" w:themeColor="text1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arkitektfirmaet MAF Arkitektkontor har is- og eventhallen i Gällivare en spesiell, optisk oscillerende fasade laget av Prefa veggshingel. Fasadeproduktet, som består av mange små deler, ble først og fremst valgt fordi det tillater bearbeiding selv ved </w:t>
      </w: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temperaturer ned til -30 °C – og med fem forskjellige rødnyanser skaper det et attraktivt mønster som henspiller på de sportslige aktivitetene i hallen.</w:t>
      </w:r>
    </w:p>
    <w:p w14:paraId="794EFA16" w14:textId="77777777" w:rsidR="00A652D6" w:rsidRPr="00FB71E4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65DD06AA" w14:textId="77777777" w:rsidR="00A652D6" w:rsidRPr="00FB71E4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6B559E84" w14:textId="42854016" w:rsidR="00A652D6" w:rsidRPr="00870F91" w:rsidRDefault="00A652D6" w:rsidP="00A652D6">
      <w:pPr>
        <w:spacing w:after="0"/>
        <w:jc w:val="both"/>
        <w:rPr>
          <w:rFonts w:ascii="ITC Slimbach LT CE Book" w:hAnsi="ITC Slimbach LT CE Book" w:cs="Arial"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En oversikt over PREFA: PREFA Aluminiumprodukte GmbH har hatt stor suksess i hele Europa i over 70 år med utvikling, produksjon og markedsføring av tak- og fasadesystemer laget av aluminium. Totalt sett beskjeftiger PREFA-gruppen rundt 640 medarbeidere. Produksjonen av de mer enn 5000 høykvalitets produktene skjer utelukkende i Østerrike og Tyskland. PREFA er del av konsernet til Industriellen dr. Cornelius Grupp, som sysselsetter over 8400 mennesker på mer enn 40 produksjonssteder over hele verden.</w:t>
      </w:r>
    </w:p>
    <w:p w14:paraId="4EAF2A55" w14:textId="1C2AB236" w:rsidR="00A652D6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7BE8E645" w14:textId="77777777" w:rsidR="000B7C94" w:rsidRDefault="000B7C94" w:rsidP="000B7C94">
      <w:pPr>
        <w:spacing w:after="0"/>
        <w:jc w:val="both"/>
        <w:rPr>
          <w:rFonts w:ascii="ITC Slimbach LT CE Book" w:hAnsi="ITC Slimbach LT CE Book" w:cs="Arial"/>
          <w:b/>
          <w:u w:val="single"/>
        </w:rPr>
        <w:bidi w:val="0"/>
      </w:pPr>
      <w:r>
        <w:rPr>
          <w:rFonts w:ascii="ITC Slimbach LT CE Book" w:cs="Arial" w:hAnsi="ITC Slimbach LT CE Book"/>
          <w:lang w:val="no"/>
          <w:b w:val="1"/>
          <w:bCs w:val="1"/>
          <w:i w:val="0"/>
          <w:iCs w:val="0"/>
          <w:u w:val="single"/>
          <w:vertAlign w:val="baseline"/>
          <w:rtl w:val="0"/>
        </w:rPr>
        <w:t xml:space="preserve">Bilder av prosjektet er tilgjengelige for nedlasting her:</w:t>
      </w:r>
    </w:p>
    <w:p w14:paraId="26EE0D4F" w14:textId="04634F96" w:rsidR="000B7C94" w:rsidRDefault="000B7C94" w:rsidP="000B7C94">
      <w:pPr>
        <w:spacing w:after="0" w:line="312" w:lineRule="auto"/>
        <w:jc w:val="both"/>
        <w:bidi w:val="0"/>
      </w:pPr>
      <w:hyperlink r:id="rId6" w:history="1">
        <w:r>
          <w:rPr>
            <w:rStyle w:val="Hyperlink"/>
            <w:rFonts w:asciiTheme="minorHAnsi" w:hAnsiTheme="minorHAnsi"/>
            <w:lang w:val="no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https://brx522.saas.contentserv.com/admin/share/1781aaf7</w:t>
        </w:r>
      </w:hyperlink>
    </w:p>
    <w:p w14:paraId="400F2F43" w14:textId="520863EB" w:rsidR="000B7C94" w:rsidRPr="008466A5" w:rsidRDefault="000B7C94" w:rsidP="000B7C9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  <w:bidi w:val="0"/>
      </w:pPr>
      <w:r>
        <w:rPr>
          <w:rFonts w:ascii="ITC Slimbach LT CE Book" w:cs="Arial" w:hAnsi="ITC Slimbach LT CE Book"/>
          <w:sz w:val="16"/>
          <w:szCs w:val="16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Fotokreditering: PREFA | Croce &amp; Wir</w:t>
      </w:r>
    </w:p>
    <w:p w14:paraId="2D038A99" w14:textId="77777777" w:rsidR="000B7C94" w:rsidRPr="000B7C94" w:rsidRDefault="000B7C94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763FBBCE" w14:textId="6A174D44" w:rsidR="00A652D6" w:rsidRPr="00870F91" w:rsidRDefault="00A652D6" w:rsidP="00A652D6">
      <w:pPr>
        <w:spacing w:after="0"/>
        <w:rPr>
          <w:rFonts w:ascii="ITC Slimbach LT CE Book" w:hAnsi="ITC Slimbach LT CE Book" w:cs="Arial"/>
          <w:b/>
          <w:bCs/>
          <w:u w:val="single"/>
        </w:rPr>
        <w:bidi w:val="0"/>
      </w:pPr>
      <w:bookmarkStart w:id="6" w:name="OLE_LINK1"/>
      <w:bookmarkStart w:id="7" w:name="OLE_LINK2"/>
      <w:bookmarkStart w:id="8" w:name="OLE_LINK3"/>
      <w:bookmarkStart w:id="9" w:name="OLE_LINK4"/>
      <w:bookmarkStart w:id="10" w:name="OLE_LINK32"/>
      <w:bookmarkStart w:id="11" w:name="OLE_LINK33"/>
      <w:bookmarkStart w:id="12" w:name="OLE_LINK36"/>
      <w:bookmarkEnd w:id="3"/>
      <w:bookmarkEnd w:id="4"/>
      <w:bookmarkEnd w:id="5"/>
      <w:bookmarkEnd w:id="2"/>
      <w:r>
        <w:rPr>
          <w:rFonts w:ascii="ITC Slimbach LT CE Book" w:cs="Arial" w:hAnsi="ITC Slimbach LT CE Book"/>
          <w:lang w:val="no"/>
          <w:b w:val="1"/>
          <w:bCs w:val="1"/>
          <w:i w:val="0"/>
          <w:iCs w:val="0"/>
          <w:u w:val="single"/>
          <w:vertAlign w:val="baseline"/>
          <w:rtl w:val="0"/>
        </w:rPr>
        <w:t xml:space="preserve">Internasjonal presseinformasjon:</w:t>
      </w:r>
    </w:p>
    <w:p w14:paraId="0614C247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Mag. (FH) Jürgen Jungmair, MSc.</w:t>
      </w:r>
    </w:p>
    <w:p w14:paraId="656DDBC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Leder for internasjonal markedsføring</w:t>
      </w:r>
    </w:p>
    <w:p w14:paraId="429483A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PREFA Aluminiumprodukte GmbH</w:t>
      </w:r>
    </w:p>
    <w:p w14:paraId="568AB5BE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Werkstraße 1, A-3182 Marktl/Lilienfeld</w:t>
      </w:r>
    </w:p>
    <w:p w14:paraId="226B1656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bookmarkStart w:id="14" w:name="OLE_LINK28"/>
      <w:bookmarkStart w:id="15" w:name="OLE_LINK29"/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T: +43 2762 502-801</w:t>
      </w:r>
    </w:p>
    <w:p w14:paraId="0144B2B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M: +43 664 965 46 70</w:t>
      </w:r>
    </w:p>
    <w:bookmarkEnd w:id="14"/>
    <w:bookmarkEnd w:id="15"/>
    <w:p w14:paraId="4387F4C9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E: juergen.jungmair@prefa.com</w:t>
      </w:r>
    </w:p>
    <w:p w14:paraId="51C69D9C" w14:textId="77777777" w:rsidR="00A652D6" w:rsidRPr="00870F91" w:rsidRDefault="00575826" w:rsidP="00A652D6">
      <w:pPr>
        <w:rPr>
          <w:rStyle w:val="Hyperlink"/>
          <w:rFonts w:ascii="ITC Slimbach LT CE Book" w:hAnsi="ITC Slimbach LT CE Book" w:cs="Arial"/>
          <w:bCs/>
        </w:rPr>
        <w:bidi w:val="0"/>
      </w:pPr>
      <w:hyperlink r:id="rId7" w:history="1">
        <w:r>
          <w:rPr>
            <w:rStyle w:val="Hyperlink"/>
            <w:rFonts w:ascii="ITC Slimbach LT CE Book" w:cs="Arial" w:hAnsi="ITC Slimbach LT CE Book"/>
            <w:lang w:val="no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https://www.prefa.at/</w:t>
        </w:r>
      </w:hyperlink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14:paraId="4B993FC4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/>
          <w:bCs/>
          <w:u w:val="single"/>
        </w:rPr>
        <w:bidi w:val="0"/>
      </w:pPr>
      <w:r>
        <w:rPr>
          <w:rFonts w:ascii="ITC Slimbach LT CE Book" w:cs="Arial" w:hAnsi="ITC Slimbach LT CE Book"/>
          <w:lang w:val="no"/>
          <w:b w:val="1"/>
          <w:bCs w:val="1"/>
          <w:i w:val="0"/>
          <w:iCs w:val="0"/>
          <w:u w:val="single"/>
          <w:vertAlign w:val="baseline"/>
          <w:rtl w:val="0"/>
        </w:rPr>
        <w:t xml:space="preserve">Presseinformasjon Tyskland:</w:t>
      </w:r>
    </w:p>
    <w:p w14:paraId="513010BA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Alexandra Bendel-Doell</w:t>
      </w:r>
    </w:p>
    <w:p w14:paraId="3BFE973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Leder for markedsføring</w:t>
      </w:r>
    </w:p>
    <w:p w14:paraId="30FB3B06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PREFA GmbH Alu-Dächer und -Fassaden</w:t>
      </w:r>
    </w:p>
    <w:p w14:paraId="31141133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bookmarkStart w:id="16" w:name="OLE_LINK30"/>
      <w:bookmarkStart w:id="17" w:name="OLE_LINK31"/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Aluminiumstraße 2, D-98634 Wasungen</w:t>
      </w:r>
    </w:p>
    <w:p w14:paraId="69E497F5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T: +49 36941 785 10</w:t>
      </w:r>
    </w:p>
    <w:bookmarkEnd w:id="16"/>
    <w:bookmarkEnd w:id="17"/>
    <w:p w14:paraId="01A6885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  <w:bidi w:val="0"/>
      </w:pPr>
      <w:r>
        <w:rPr>
          <w:rFonts w:ascii="ITC Slimbach LT CE Book" w:cs="Arial" w:hAnsi="ITC Slimbach LT CE Book"/>
          <w:lang w:val="no"/>
          <w:b w:val="0"/>
          <w:bCs w:val="0"/>
          <w:i w:val="0"/>
          <w:iCs w:val="0"/>
          <w:u w:val="none"/>
          <w:vertAlign w:val="baseline"/>
          <w:rtl w:val="0"/>
        </w:rPr>
        <w:t xml:space="preserve">E: alexandra.bendel-doell@prefa.com</w:t>
      </w:r>
    </w:p>
    <w:p w14:paraId="6CC85DFF" w14:textId="77777777" w:rsidR="00A652D6" w:rsidRDefault="00575826" w:rsidP="00A652D6">
      <w:pPr>
        <w:bidi w:val="0"/>
      </w:pPr>
      <w:hyperlink r:id="rId8" w:history="1">
        <w:r>
          <w:rPr>
            <w:rStyle w:val="Hyperlink"/>
            <w:rFonts w:ascii="ITC Slimbach LT CE Book" w:cs="Arial" w:hAnsi="ITC Slimbach LT CE Book"/>
            <w:lang w:val="no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https://www.prefa.de/</w:t>
        </w:r>
      </w:hyperlink>
    </w:p>
    <w:p w14:paraId="1802BEC4" w14:textId="77777777" w:rsidR="00737528" w:rsidRDefault="00737528"/>
    <w:sectPr w:rsidR="0073752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7F5B" w14:textId="77777777" w:rsidR="00CF15E7" w:rsidRDefault="00CF15E7">
      <w:pPr>
        <w:spacing w:after="0" w:line="240" w:lineRule="auto"/>
      </w:pPr>
      <w:r>
        <w:separator/>
      </w:r>
    </w:p>
  </w:endnote>
  <w:endnote w:type="continuationSeparator" w:id="0">
    <w:p w14:paraId="56FCDB8B" w14:textId="77777777" w:rsidR="00CF15E7" w:rsidRDefault="00CF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9F14" w14:textId="77777777" w:rsidR="00CF15E7" w:rsidRDefault="00CF15E7">
      <w:pPr>
        <w:spacing w:after="0" w:line="240" w:lineRule="auto"/>
      </w:pPr>
      <w:r>
        <w:separator/>
      </w:r>
    </w:p>
  </w:footnote>
  <w:footnote w:type="continuationSeparator" w:id="0">
    <w:p w14:paraId="17DAEF4F" w14:textId="77777777" w:rsidR="00CF15E7" w:rsidRDefault="00CF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DFEB" w14:textId="77777777" w:rsidR="0025040E" w:rsidRDefault="00A652D6">
    <w:pPr>
      <w:pStyle w:val="Kopfzeile"/>
      <w:bidi w:val="0"/>
    </w:pPr>
    <w:r>
      <w:rPr>
        <w:noProof/>
        <w:lang w:val="no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6E137E36" wp14:editId="7CDDD978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6"/>
    <w:rsid w:val="00005704"/>
    <w:rsid w:val="00052553"/>
    <w:rsid w:val="00086B25"/>
    <w:rsid w:val="00094CC3"/>
    <w:rsid w:val="000A4570"/>
    <w:rsid w:val="000B206F"/>
    <w:rsid w:val="000B7C94"/>
    <w:rsid w:val="000D1850"/>
    <w:rsid w:val="000E29D5"/>
    <w:rsid w:val="000E4321"/>
    <w:rsid w:val="001178F9"/>
    <w:rsid w:val="001607E4"/>
    <w:rsid w:val="00186E95"/>
    <w:rsid w:val="001924AC"/>
    <w:rsid w:val="00194396"/>
    <w:rsid w:val="001B0228"/>
    <w:rsid w:val="001B5ACF"/>
    <w:rsid w:val="001C236E"/>
    <w:rsid w:val="001E2DCD"/>
    <w:rsid w:val="001E3E09"/>
    <w:rsid w:val="001E7638"/>
    <w:rsid w:val="002004A2"/>
    <w:rsid w:val="0020354C"/>
    <w:rsid w:val="002955F9"/>
    <w:rsid w:val="002977BE"/>
    <w:rsid w:val="002B49A5"/>
    <w:rsid w:val="002B7E12"/>
    <w:rsid w:val="0032130C"/>
    <w:rsid w:val="00343BD4"/>
    <w:rsid w:val="00362B7B"/>
    <w:rsid w:val="00380BD0"/>
    <w:rsid w:val="003D114C"/>
    <w:rsid w:val="003D120A"/>
    <w:rsid w:val="003E4F89"/>
    <w:rsid w:val="004056F5"/>
    <w:rsid w:val="00441B8C"/>
    <w:rsid w:val="00443D78"/>
    <w:rsid w:val="00463763"/>
    <w:rsid w:val="00464A76"/>
    <w:rsid w:val="00486874"/>
    <w:rsid w:val="004C0CD6"/>
    <w:rsid w:val="004E4125"/>
    <w:rsid w:val="00520D1C"/>
    <w:rsid w:val="00533042"/>
    <w:rsid w:val="00567546"/>
    <w:rsid w:val="00575826"/>
    <w:rsid w:val="005E4818"/>
    <w:rsid w:val="005E74FD"/>
    <w:rsid w:val="006021A3"/>
    <w:rsid w:val="00602969"/>
    <w:rsid w:val="00640037"/>
    <w:rsid w:val="006464AD"/>
    <w:rsid w:val="006630C4"/>
    <w:rsid w:val="006855B7"/>
    <w:rsid w:val="006B700B"/>
    <w:rsid w:val="006C0A12"/>
    <w:rsid w:val="006E5D02"/>
    <w:rsid w:val="007261B9"/>
    <w:rsid w:val="00731006"/>
    <w:rsid w:val="00737528"/>
    <w:rsid w:val="00783AA5"/>
    <w:rsid w:val="007A1B3A"/>
    <w:rsid w:val="007A6FB2"/>
    <w:rsid w:val="007E3A69"/>
    <w:rsid w:val="00813D50"/>
    <w:rsid w:val="008302A6"/>
    <w:rsid w:val="008663C7"/>
    <w:rsid w:val="00877B1D"/>
    <w:rsid w:val="0089389A"/>
    <w:rsid w:val="008961A4"/>
    <w:rsid w:val="008A135E"/>
    <w:rsid w:val="008C17E9"/>
    <w:rsid w:val="008D10E8"/>
    <w:rsid w:val="008E1396"/>
    <w:rsid w:val="008E76D3"/>
    <w:rsid w:val="008F5916"/>
    <w:rsid w:val="0092598C"/>
    <w:rsid w:val="00926321"/>
    <w:rsid w:val="00930BC3"/>
    <w:rsid w:val="009732F7"/>
    <w:rsid w:val="0099121A"/>
    <w:rsid w:val="009E5887"/>
    <w:rsid w:val="00A27761"/>
    <w:rsid w:val="00A4235D"/>
    <w:rsid w:val="00A52B8E"/>
    <w:rsid w:val="00A652D6"/>
    <w:rsid w:val="00A707DA"/>
    <w:rsid w:val="00A80212"/>
    <w:rsid w:val="00AA2C9C"/>
    <w:rsid w:val="00AA5D3E"/>
    <w:rsid w:val="00AD132E"/>
    <w:rsid w:val="00AF085D"/>
    <w:rsid w:val="00B16D68"/>
    <w:rsid w:val="00B2334B"/>
    <w:rsid w:val="00B45A8E"/>
    <w:rsid w:val="00B53C6C"/>
    <w:rsid w:val="00B576C8"/>
    <w:rsid w:val="00B669A0"/>
    <w:rsid w:val="00B7643D"/>
    <w:rsid w:val="00B85A20"/>
    <w:rsid w:val="00BB191E"/>
    <w:rsid w:val="00BC4084"/>
    <w:rsid w:val="00BE5079"/>
    <w:rsid w:val="00C417A4"/>
    <w:rsid w:val="00C641F4"/>
    <w:rsid w:val="00C6576F"/>
    <w:rsid w:val="00C95D10"/>
    <w:rsid w:val="00C972C9"/>
    <w:rsid w:val="00C97BD7"/>
    <w:rsid w:val="00CA0825"/>
    <w:rsid w:val="00CB2232"/>
    <w:rsid w:val="00CF15E7"/>
    <w:rsid w:val="00D22E76"/>
    <w:rsid w:val="00D23CD1"/>
    <w:rsid w:val="00D36C63"/>
    <w:rsid w:val="00D45474"/>
    <w:rsid w:val="00D629EF"/>
    <w:rsid w:val="00D66A9D"/>
    <w:rsid w:val="00D84E46"/>
    <w:rsid w:val="00DC2C96"/>
    <w:rsid w:val="00DD3A6D"/>
    <w:rsid w:val="00DD55BD"/>
    <w:rsid w:val="00DD5CB9"/>
    <w:rsid w:val="00DE0E59"/>
    <w:rsid w:val="00DE6D50"/>
    <w:rsid w:val="00E00A08"/>
    <w:rsid w:val="00E04ACF"/>
    <w:rsid w:val="00E53D16"/>
    <w:rsid w:val="00E540BB"/>
    <w:rsid w:val="00E85F09"/>
    <w:rsid w:val="00EB4890"/>
    <w:rsid w:val="00EC4ABD"/>
    <w:rsid w:val="00EF03B4"/>
    <w:rsid w:val="00F152C2"/>
    <w:rsid w:val="00F22C60"/>
    <w:rsid w:val="00F514CE"/>
    <w:rsid w:val="00F56383"/>
    <w:rsid w:val="00F607E5"/>
    <w:rsid w:val="00F72D53"/>
    <w:rsid w:val="00F752D3"/>
    <w:rsid w:val="00F90A17"/>
    <w:rsid w:val="00F91FD3"/>
    <w:rsid w:val="00F93A88"/>
    <w:rsid w:val="00FA030D"/>
    <w:rsid w:val="00FA1D16"/>
    <w:rsid w:val="00FB13D2"/>
    <w:rsid w:val="00FB4AB6"/>
    <w:rsid w:val="00FC1A07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425"/>
  <w15:chartTrackingRefBased/>
  <w15:docId w15:val="{34168359-AB1F-7C4C-9A36-34B4CA7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2D6"/>
    <w:pPr>
      <w:spacing w:after="200" w:line="276" w:lineRule="auto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pPr>
      <w:spacing w:after="0" w:line="240" w:lineRule="auto"/>
    </w:pPr>
    <w:rPr>
      <w:rFonts w:ascii="Helvetica" w:eastAsiaTheme="minorHAnsi" w:hAnsi="Helvetica" w:cs="Times New Roman (Textkörper CS)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A652D6"/>
    <w:rPr>
      <w:rFonts w:ascii="Verdana" w:hAnsi="Verdana" w:hint="default"/>
      <w:color w:val="CC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2D6"/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8F5916"/>
    <w:rPr>
      <w:rFonts w:asciiTheme="minorHAnsi" w:eastAsiaTheme="minorEastAsia" w:hAnsiTheme="minorHAnsi" w:cstheme="minorBid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0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0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02D"/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02D"/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2B8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about:blank" /><Relationship Id="rId3" Type="http://schemas.openxmlformats.org/officeDocument/2006/relationships/webSettings" Target="webSettings.xml" /><Relationship Id="rId7" Type="http://schemas.openxmlformats.org/officeDocument/2006/relationships/hyperlink" TargetMode="External" Target="about:blank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Mode="External" Target="https://brx522.saas.contentserv.com/admin/share/1781aaf7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Roll Veronika</cp:lastModifiedBy>
  <cp:revision>4</cp:revision>
  <cp:lastPrinted>2022-05-02T06:09:00Z</cp:lastPrinted>
  <dcterms:created xsi:type="dcterms:W3CDTF">2022-05-03T08:08:00Z</dcterms:created>
  <dcterms:modified xsi:type="dcterms:W3CDTF">2022-05-03T08:44:00Z</dcterms:modified>
</cp:coreProperties>
</file>